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Просмотр извещения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(приказ ФАС №67)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Вид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Аренда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SBR012-2204270052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на право заключения договора аренды муниципального имущества без права выкупа, являющегося муниципальной собственностью сельского поселения Дедовский сельсовет муниципального района Федоровский район Республики Башкортостан.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Адрес электронной площадки в сети "Интернет"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http://utp.sberbank-ast.ru/AP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Нормативное регулирование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Приказ ФАС России от 10.02.2010 №67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Количество просмотров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на сайте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21000033230000000011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Открыть на сайте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EE"/>
                <w:u w:val="single" w:color="0000EE"/>
              </w:rPr>
              <w:t>Открыть на сайте ГИС Торги</w:t>
            </w:r>
          </w:p>
        </w:tc>
      </w:tr>
    </w:tbl>
    <w:p>
      <w:pPr>
        <w:rPr>
          <w:vanish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об организаторе процедуры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организатора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организатора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МУНИЦИПАЛЬНОЕ КАЗЕННОЕ УЧРЕЖДЕНИЕ "ЦЕНТРАЛИЗОВАННАЯ БУХГАЛТЕРИЯ МУНИЦИПАЛЬНОГО РАЙОНА ФЕДОРОВСКИЙ РАЙОН РЕСПУБЛИКИ БАШКОРТОСТАН"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0247005763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024701001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Юридический адрес / Место нахождения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453280, РЕСПУБЛИКА БАШКОРТОСТАН,РАЙОН ФЕДОРОВСКИЙ,СЕЛО ФЕДОРОВКА,УЛИЦА КОММУНИСТИЧЕСКАЯ д. ДОМ 61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Фактический адрес (почтовый)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453280, Башкортостан республика, Федоровский район, Федоровка село, Коммунистическая улица д. 61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Адрес электронной почты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mku.cbsp@mail.ru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Номера контактных телефонов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+7(34746)27676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Контактное лицо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</w:rPr>
              <w:t>(Опционально)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Хабибуллин Рустам Аслямович</w:t>
            </w:r>
          </w:p>
        </w:tc>
      </w:tr>
    </w:tbl>
    <w:p>
      <w:pPr>
        <w:rPr>
          <w:vanish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3196"/>
              <w:gridCol w:w="7456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</w:trPr>
              <w:tc>
                <w:tcPr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>Сведения об инициаторе/продавце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Наименование инициатора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инициатора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АДМИНИСТРАЦИЯ СЕЛЬСКОГО ПОСЕЛЕНИЯ ДЕДОВСКИЙ СЕЛЬСОВЕТ МУНИЦИПАЛЬНОГО РАЙОНА ФЕДОРОВСКИЙ РАЙОН РЕСПУБЛИКИ БАШКОРТОСТАН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ИНН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0247001247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КПП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024701001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Юридический адрес / Место нахождения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453283, РЕСП БАШКОРТОСТАН,Р-Н ФЕДОРОВСКИЙ,С ДЕДОВО,УЛ ЦЕНТРАЛЬНАЯ д. 48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 xml:space="preserve">Фактический адрес (почтовый)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453283, РЕСП БАШКОРТОСТАН,Р-Н ФЕДОРОВСКИЙ,С ДЕДОВО,УЛ ЦЕНТРАЛЬНАЯ д. 48</w:t>
                  </w:r>
                </w:p>
              </w:tc>
            </w:tr>
          </w:tbl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vanish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42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</w:rPr>
              <w:t xml:space="preserve">Лоты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</w:rPr>
              <w:br/>
            </w:r>
          </w:p>
        </w:tc>
      </w:tr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2491"/>
              <w:gridCol w:w="8191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</w:trPr>
              <w:tc>
                <w:tcPr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t>Сведения о лоте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Номер лота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1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Статус лота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Опубликован(-а)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Причина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Наименование лота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Аренда нежилого здания телятник (к/н 02:49:060401:141) площадью 791,7 кв.м., расположенный на земельном участке (к/н 02:49:060401:25) площадью 25 593кв.м., по адресу: Республика Башкортостан, Федоровский район, с. Ижбуляк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Статус торгов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Информация о предыдущих торгах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tbl>
                  <w:tblPr>
                    <w:tblStyle w:val="d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416"/>
                  </w:tblGrid>
                  <w:tr>
                    <w:tblPrEx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5E0"/>
                    </w:tblPrEx>
                    <w:trPr>
                      <w:tblCellSpacing w:w="15" w:type="dxa"/>
                    </w:trPr>
                    <w:tc>
                      <w:tcP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</w:rPr>
                          <w:br/>
                        </w:r>
                      </w:p>
                    </w:tc>
                  </w:tr>
                </w:tbl>
                <w:p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Мини-изображение объекта торгов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tbl>
                  <w:tblPr>
                    <w:tblStyle w:val="d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416"/>
                  </w:tblGrid>
                  <w:tr>
                    <w:tblPrEx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5E0"/>
                    </w:tblPrEx>
                    <w:trPr>
                      <w:tblCellSpacing w:w="15" w:type="dxa"/>
                    </w:trPr>
                    <w:tc>
                      <w:tcP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</w:rPr>
                          <w:br/>
                        </w:r>
                      </w:p>
                    </w:tc>
                  </w:tr>
                </w:tbl>
                <w:p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Регион / Местоположение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Республика Башкортостан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Тип имущества / объекта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Муниципальная собственность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Категория имущества / объекта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Описание и технические характеристики государственного или муниципального имущества, права на которое передаются по договору, в том числе площадь помещения, здания, строения или сооружения в случае передачи прав на соответствующее недвижимое имущество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Нежилое здание - телятник (к/н 02:49:060401:141) площадью 791,7 кв.м., Этаже - 1. Год завершенного строительства - 1987г.Земельный участок (к/н 02:49:060401:25) площадью 25 593кв.м., категория земель - земли населенных пунктов, виды разрешенного использования - размещения зданий, сооружений, используемых для содержания и разведения сельскохозяйственных животных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Целевое назначение государственного или муниципального имущества, права на которое передаются по договору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Наименование: Телятник Назначение: Нежилое здание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Место нахождения имущества / объекта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Республика Башкортостан, Федоровский район, с. Ижбуляк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Участниками аукциона могут являться только СМСП, физические лица, применяющие специальный налоговый режим "Налог на профессиональный доход", имеющие право на поддержку органов государственной власти и органов местного самоуправления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нет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Порядок ознакомления с имуществом /объектом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Согласно п.4 Раздела 1.1. Аукционной документации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Валюта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Российский рубль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Начальная цена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68 520.00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Шаг торгов, %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5.00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Перечисление задатка на счета Оператора электронной площадки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да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Размер задатка, руб.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13 704.00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Размер депозита, руб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0.00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Срок и порядок внесения задатка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Срок действия договора (разрешения)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>6 г. м. д.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Номер извещения на сайте www.torgi.gov.ru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Ссылка на извещение на сайте www.torgi.gov.ru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EE"/>
                      <w:sz w:val="22"/>
                      <w:u w:val="single" w:color="0000EE"/>
                    </w:rPr>
                    <w:t>Ссылка на извещение на сайте www.torgi.gov.ru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Информация о файлах лота с ГИС Торги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tbl>
                  <w:tblPr>
                    <w:tblStyle w:val="block-tbl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1739"/>
                    <w:gridCol w:w="5002"/>
                    <w:gridCol w:w="1436"/>
                  </w:tblGrid>
                  <w:tr>
                    <w:tblPrEx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5E0"/>
                    </w:tblPrEx>
                    <w:trPr>
                      <w:tblHeader/>
                      <w:tblCellSpacing w:w="15" w:type="dxa"/>
                    </w:trPr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2"/>
                          </w:rPr>
                          <w:t xml:space="preserve">Файл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2"/>
                          </w:rPr>
                          <w:br/>
                        </w:r>
                      </w:p>
                    </w:tc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2"/>
                          </w:rPr>
                          <w:t xml:space="preserve">Ссылка на скачивание файла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2"/>
                          </w:rPr>
                          <w:br/>
                        </w:r>
                      </w:p>
                    </w:tc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2"/>
                          </w:rPr>
                          <w:t xml:space="preserve">Информация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2"/>
                          </w:rPr>
                          <w:br/>
                        </w:r>
                      </w:p>
                    </w:tc>
                  </w:tr>
                  <w:tr>
                    <w:tblPrEx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5E0"/>
                    </w:tblPrEx>
                    <w:trPr>
                      <w:tblCellSpacing w:w="15" w:type="dxa"/>
                    </w:trPr>
                    <w:tc>
                      <w:tcP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</w:rPr>
                          <w:t>Информационное извещение.docx</w:t>
                        </w:r>
                      </w:p>
                    </w:tc>
                    <w:tc>
                      <w:tcP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</w:rPr>
                          <w:t>%26lt;a href="https://torgi.gov.ru/new/file-store/v1/6269233c1ab8504327b82c6b"%26gt;Скачать файл%26lt;/a%26gt;</w:t>
                        </w:r>
                      </w:p>
                    </w:tc>
                    <w:tc>
                      <w:tcP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</w:rPr>
                          <w:t>Документация лота</w:t>
                        </w:r>
                      </w:p>
                    </w:tc>
                  </w:tr>
                </w:tbl>
                <w:p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t xml:space="preserve">Протоколы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tbl>
                  <w:tblPr>
                    <w:tblStyle w:val="block-tbl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287"/>
                    <w:gridCol w:w="1911"/>
                    <w:gridCol w:w="2015"/>
                    <w:gridCol w:w="1468"/>
                    <w:gridCol w:w="2466"/>
                  </w:tblGrid>
                  <w:tr>
                    <w:tblPrEx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5E0"/>
                    </w:tblPrEx>
                    <w:trPr>
                      <w:tblHeader/>
                      <w:tblCellSpacing w:w="15" w:type="dxa"/>
                    </w:trPr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2"/>
                          </w:rPr>
                          <w:t xml:space="preserve">#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2"/>
                          </w:rPr>
                          <w:br/>
                        </w:r>
                      </w:p>
                    </w:tc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2"/>
                          </w:rPr>
                          <w:t xml:space="preserve">Дата и время протокола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2"/>
                          </w:rPr>
                          <w:br/>
                        </w:r>
                      </w:p>
                    </w:tc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2"/>
                          </w:rPr>
                          <w:t xml:space="preserve">Наименование протокола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2"/>
                          </w:rPr>
                          <w:br/>
                        </w:r>
                      </w:p>
                    </w:tc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2"/>
                          </w:rPr>
                          <w:t xml:space="preserve">Статус протокола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2"/>
                          </w:rPr>
                          <w:br/>
                        </w:r>
                      </w:p>
                    </w:tc>
                    <w:tc>
                      <w:tcPr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2"/>
                          </w:rPr>
                          <w:t xml:space="preserve">Сведения о внесении изменений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 w:val="0"/>
                            <w:iCs w:val="0"/>
                            <w:smallCaps w:val="0"/>
                            <w:color w:val="000000"/>
                            <w:sz w:val="22"/>
                          </w:rPr>
                          <w:br/>
                        </w:r>
                      </w:p>
                    </w:tc>
                  </w:tr>
                  <w:tr>
                    <w:tblPrEx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  <w:tblLook w:val="05E0"/>
                    </w:tblPrEx>
                    <w:trPr>
                      <w:tblCellSpacing w:w="15" w:type="dxa"/>
                    </w:trPr>
                    <w:tc>
                      <w:tcPr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vAlign w:val="top"/>
                        <w:hideMark/>
                      </w:tcPr>
                      <w:p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</w:rPr>
                  </w:pPr>
                </w:p>
              </w:tc>
            </w:tr>
          </w:tbl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</w:rPr>
            </w:pPr>
          </w:p>
        </w:tc>
      </w:tr>
    </w:tbl>
    <w:p>
      <w:pPr>
        <w:rPr>
          <w:vanish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Условия проведения процедуры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Форма подачи предложений о цене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Открытая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начала подачи заявок на участие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28.04.2022 07:00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окончания подачи заявок на участие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24.05.2022 15:00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начала рассмотрения заявок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24.05.2022 15:00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рассмотрения заявок на участие (дата определения участников)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26.05.2022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начала торговой сессии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27.05.2022 08:00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Порядок определения победителя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Указан в регламенте ТС ЭП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Срок, в течение которого организатор вправе отказаться от проведения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18.05.2022 15:00:00</w:t>
            </w:r>
          </w:p>
        </w:tc>
      </w:tr>
    </w:tbl>
    <w:p>
      <w:pPr>
        <w:rPr>
          <w:vanish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Информация о предоставлении документации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начала срока предоставления документации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окончания срока предоставления документации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Место предоставления документации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Порядок предоставления документации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Информация об оплате за предоставление документации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Валюта платежа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</w:rPr>
              <w:t>Обязательно, если требуется плата за предоставление документации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Сумма оплаты за документацию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</w:rPr>
              <w:t>Обязательно, если требуется плата за предоставление документации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Сроки и порядок внесения платы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</w:rPr>
              <w:t>Обязательно, если требуется плата за предоставление документации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vanish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Порядок оформления заявок на участие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Требования, предъявляемые к Участнику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Согласно Аукционной документации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Перечень документов, предоставляемых Участником в составе заявки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Согласно п.3 Раздела 1.1. Аукционной документации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Требования к оформлению представляемых участниками документов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vanish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767"/>
        <w:gridCol w:w="8975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 и сведения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Документация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Информация о файлах процедуры с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972"/>
              <w:gridCol w:w="5383"/>
              <w:gridCol w:w="1560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Файл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Ссылка на скачивание файла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Информация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Постановление №6.pdf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%26lt;a href="https://torgi.gov.ru/new/file-store/v1/626923bc1ab8504327b82d55"%26gt;Скачать файл%26lt;/a%26gt;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Иное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Аукционная документация.pdf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%26lt;a href="https://torgi.gov.ru/new/file-store/v1/626923c91ab8504327b82d99"%26gt;Скачать файл%26lt;/a%26gt;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Документация аукциона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Заявка на участие (аукцион приказ ФАС №67).pdf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%26lt;a href="https://torgi.gov.ru/new/file-store/v1/626923cee826c5546a6f7bdd"%26gt;Скачать файл%26lt;/a%26gt;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Форма заявки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Договор проект.docx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%26lt;a href="https://torgi.gov.ru/new/file-store/v1/626923e1e826c5546a6f7bf1"%26gt;Скачать файл%26lt;/a%26gt;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Проект договора</w:t>
                  </w:r>
                </w:p>
              </w:tc>
            </w:tr>
          </w:tbl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vanish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720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Запросы/Разъяснения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vanish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035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Информация о приостановлениях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vanish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635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Информация о возобновлении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vanish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944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События в хронологическом порядке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824"/>
              <w:gridCol w:w="6578"/>
              <w:gridCol w:w="1398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события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Описание события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Отменено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27.04.2022 14:09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Получение информации из ГИС Торги. Публикация извещения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Нет</w:t>
                  </w:r>
                </w:p>
              </w:tc>
            </w:tr>
          </w:tbl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